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A" w:rsidRPr="00CF7099" w:rsidRDefault="00CF7099" w:rsidP="00EC4E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EC4E13">
        <w:rPr>
          <w:rFonts w:hAnsi="Times New Roman" w:cs="Times New Roman"/>
          <w:color w:val="000000"/>
          <w:sz w:val="24"/>
          <w:szCs w:val="24"/>
          <w:lang w:val="ru-RU"/>
        </w:rPr>
        <w:t>Управления культуры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BD081A" w:rsidRDefault="00CF7099" w:rsidP="001B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BD081A" w:rsidRDefault="00CF7099" w:rsidP="001B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BD081A" w:rsidRPr="00CF7099" w:rsidRDefault="00CF7099" w:rsidP="001B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BD081A" w:rsidRPr="00CF7099" w:rsidRDefault="00CF7099" w:rsidP="001B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BD081A" w:rsidRDefault="00CF7099" w:rsidP="001B24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BD081A" w:rsidRPr="00CF7099" w:rsidRDefault="00CF7099" w:rsidP="001B24E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Минфина от 06.12.2010 №162н «Об утверждении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6"/>
        <w:gridCol w:w="7754"/>
      </w:tblGrid>
      <w:tr w:rsidR="00BD081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BD081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EC4E13" w:rsidRDefault="00EC4E13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культуры</w:t>
            </w:r>
          </w:p>
        </w:tc>
      </w:tr>
      <w:tr w:rsidR="00BD081A" w:rsidRPr="00E72D8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BD081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</w:p>
          <w:p w:rsidR="00BD081A" w:rsidRPr="00CF7099" w:rsidRDefault="00BD081A" w:rsidP="001B24ED">
            <w:pPr>
              <w:jc w:val="both"/>
              <w:rPr>
                <w:lang w:val="ru-RU"/>
              </w:rPr>
            </w:pPr>
          </w:p>
          <w:p w:rsidR="00BD081A" w:rsidRPr="00CF7099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18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</w:p>
          <w:p w:rsidR="00BD081A" w:rsidRPr="00CF7099" w:rsidRDefault="00BD081A" w:rsidP="001B24ED">
            <w:pPr>
              <w:jc w:val="both"/>
              <w:rPr>
                <w:lang w:val="ru-RU"/>
              </w:rPr>
            </w:pPr>
          </w:p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24-26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подстатья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КОСГУ</w:t>
            </w:r>
          </w:p>
        </w:tc>
      </w:tr>
      <w:tr w:rsidR="00BD081A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81A" w:rsidRDefault="00CF7099" w:rsidP="00EC4E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 </w:t>
      </w:r>
      <w:r w:rsidR="00BA665B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Централизованная бухгалтерия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бухгалтерия, возглавляемая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главным бухгалтером. Сотрудники бухгалтерии руководствуются в работе Положением о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бухгалтерии, должностными инструкциями.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счета в территориальных Федерального казначейства, ведут бухгалтерии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подразделений.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поступлению и выбытию активов 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 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проверке показаний одометров автотранспорта;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для проведения внезапной ревизии кассы.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сайте путем размещения копий документов учетной политики.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сопоставления отчетности существенность изменения показателей, отражающих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его денежных средств на основе своего профессионального суждения. Также на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суждения оценивается существенность ошибок отчетного периода,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ошибки».</w:t>
      </w:r>
    </w:p>
    <w:p w:rsidR="00BD081A" w:rsidRPr="00CF7099" w:rsidRDefault="00CF7099" w:rsidP="00EC4E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продуктов «Бухгалтерия», «Зарплата».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BD081A" w:rsidRPr="00CF7099" w:rsidRDefault="00CF7099" w:rsidP="001B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казначейства;</w:t>
      </w:r>
    </w:p>
    <w:p w:rsidR="00BD081A" w:rsidRDefault="00CF7099" w:rsidP="001B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BD081A" w:rsidRPr="00CF7099" w:rsidRDefault="00CF7099" w:rsidP="001B24E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BD081A" w:rsidRPr="00CF7099" w:rsidRDefault="00CF7099" w:rsidP="001B24E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«Бухгалтерия», еженедельно – «Зарплата»;</w:t>
      </w:r>
    </w:p>
    <w:p w:rsidR="00BD081A" w:rsidRPr="00CF7099" w:rsidRDefault="00CF7099" w:rsidP="001B24E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итогам квартала и отчетного года после сдачи отчетности производится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запись копии базы данных на внешний носитель – </w:t>
      </w:r>
      <w:r w:rsidR="00EC4E13">
        <w:rPr>
          <w:rFonts w:hAnsi="Times New Roman" w:cs="Times New Roman"/>
          <w:color w:val="000000"/>
          <w:sz w:val="24"/>
          <w:szCs w:val="24"/>
        </w:rPr>
        <w:t>USB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, который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BD081A" w:rsidRPr="00CF7099" w:rsidRDefault="00CF7099" w:rsidP="001B24E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 подшиваются в отдельные папки в хронологическом порядке.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BD081A" w:rsidRPr="00CF7099" w:rsidRDefault="00CF7099" w:rsidP="00EC4E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устанавливаются в соответствии с приложением 17 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Основание: пункт 22 СГС «Концептуальные основы бухучета и отчетности», подпункт «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формы первичных документов из Приказа № 52н,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BD081A" w:rsidRPr="00CF7099" w:rsidRDefault="00CF7099" w:rsidP="001B24E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Приказа № 52н, дополненные необходимыми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реквизитами;</w:t>
      </w:r>
    </w:p>
    <w:p w:rsidR="00BD081A" w:rsidRPr="00CF7099" w:rsidRDefault="00CF7099" w:rsidP="001B24E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других нормативно-правовых актов;</w:t>
      </w:r>
    </w:p>
    <w:p w:rsidR="00BD081A" w:rsidRPr="00CF7099" w:rsidRDefault="00CF7099" w:rsidP="001B24E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12.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4E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BA665B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</w:t>
      </w:r>
      <w:proofErr w:type="gramStart"/>
      <w:r w:rsidR="00EC4E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4. Учреждение использует унифицированные формы регистров бухучета,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 3 к приказу № 52н. При необходимости формы регистров,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5. При поступлении документов на иностранном языке построчный перевод таких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документов на русский язык осуществляется сотрудником учреждения. Переводы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составляются на отдельном документе, заверяются подписью сотрудника, составившего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перевод, и прикладываются к первичным документам.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то в отношении их постоянных показателей достаточно однократного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данного первичного документа.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31 СГС «Концептуальные основы бухучета и отчетности».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 Формирование электронных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объекта к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ежегодно, на последний рабочий день года, 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принятии объектов к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средств, реестр карточек заполняются ежегодно,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года;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депонированной зарплаты и стипендий заполняются ежемесячно, в последний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день месяца;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BD081A" w:rsidRPr="00CF7099" w:rsidRDefault="00CF7099" w:rsidP="001B24E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иное не установлено законодательством РФ.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политики, составляются отдельно.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 Журнал операций расчетов по оплате труда, денежному довольствию (ф. 0504071) ведется раздельно по 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раздельно по счетам: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персоналу в натуральной форме»;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257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8. Журналам операций присваиваются номера согласно приложению 11. По операциям,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9. Первичные и сводные учетные документы, бухгалтерские регистры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электронного документа, подписанного квалифицированной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бухучета, утверждается отдельным приказом.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 5 статьи 9 Закона от 06.12.2011 № 402-ФЗ, пункт 11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157н, пункт 32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52н, статья 2 Закона от 06.04.2011 № 63-ФЗ.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 Электронные документы, подписанные квалифицированной электронной подписью,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хранятся в электронном виде на съемных носителях информации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порядком учета и хранения съемных носителей информации. При этом ведется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учета и движения электронных носителей. Журнал должен быть пронумерован,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учреждения на ответственного сотрудника учреждения.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33 СГС «Концептуальные основы бухучета и отчетности», пункт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 Особенности применения первичных документов: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11.1. При приобретении и реализации основных средств, нематериальных и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активов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11.2. При ремонте нового оборудования, неисправность которого была выявлена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монтаже, составляется акт о выявленных дефектах оборудования по форме № ОС-16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(ф. 0306008).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11.3. На списание призов, подарков, сувениров оформляется Акт 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0504230), к которому должен быть приложен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приказа руководителя о награждении с указанием перечня награжденных лиц.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культурного мероприятия, к Акту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0504230) должны быть приложены экземпляр приказа руководителя о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и </w:t>
      </w:r>
      <w:r w:rsidR="00F11A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72D8E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="00F11AB7">
        <w:rPr>
          <w:rFonts w:hAnsi="Times New Roman" w:cs="Times New Roman"/>
          <w:color w:val="000000"/>
          <w:sz w:val="24"/>
          <w:szCs w:val="24"/>
          <w:lang w:val="ru-RU"/>
        </w:rPr>
        <w:t>мента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 указанием перечня награжденных лиц.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11.4. При поступлении имущества и наличных денег от жертвователя или дарителя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составляется а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 должны быть:</w:t>
      </w:r>
    </w:p>
    <w:p w:rsidR="00BD081A" w:rsidRPr="00CF7099" w:rsidRDefault="00CF7099" w:rsidP="001B24E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BD081A" w:rsidRPr="00CF7099" w:rsidRDefault="00CF7099" w:rsidP="001B24E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  <w:proofErr w:type="gramEnd"/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имущество и наличные деньги поступают без оформления письменного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передающая сторона:</w:t>
      </w:r>
    </w:p>
    <w:p w:rsidR="00BD081A" w:rsidRPr="00CF7099" w:rsidRDefault="00CF7099" w:rsidP="001B24E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BD081A" w:rsidRPr="00CF7099" w:rsidRDefault="00CF7099" w:rsidP="001B24E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11.5. В Табеле учета использования рабочего времени (ф. 0504421) 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явок и неявок.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0"/>
        <w:gridCol w:w="820"/>
      </w:tblGrid>
      <w:tr w:rsidR="00BD081A" w:rsidRPr="00CF7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  <w:p w:rsidR="00BD081A" w:rsidRDefault="00BD081A" w:rsidP="001B24ED">
            <w:pPr>
              <w:jc w:val="both"/>
            </w:pPr>
          </w:p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</w:p>
          <w:p w:rsidR="00BD081A" w:rsidRPr="00CF7099" w:rsidRDefault="00BD081A" w:rsidP="001B24ED">
            <w:pPr>
              <w:jc w:val="both"/>
              <w:rPr>
                <w:lang w:val="ru-RU"/>
              </w:rPr>
            </w:pPr>
          </w:p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обратно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Выполнение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обязанностей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BD081A" w:rsidRPr="00CF7099" w:rsidRDefault="00CF7099" w:rsidP="00B061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.План счетов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6),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 157н, пункт 19 СГС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«Концептуальные основы бухучета и отчетности», подпункт «б» пункта 9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CF7099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1"/>
        <w:gridCol w:w="7479"/>
      </w:tblGrid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азряд номера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BD081A" w:rsidRPr="00E72D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BD081A" w:rsidRPr="00CF7099" w:rsidRDefault="00CF7099" w:rsidP="00B061B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0801 «Культура»</w:t>
            </w:r>
            <w:r w:rsidRPr="00CF7099">
              <w:rPr>
                <w:lang w:val="ru-RU"/>
              </w:rPr>
              <w:br/>
            </w:r>
            <w:r w:rsidR="00A630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0804</w:t>
            </w:r>
          </w:p>
        </w:tc>
      </w:tr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</w:tr>
      <w:tr w:rsidR="00BD081A" w:rsidRPr="00E72D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BD081A" w:rsidRPr="00CF7099" w:rsidRDefault="00CF7099" w:rsidP="001B24ED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BD081A" w:rsidRDefault="00CF7099" w:rsidP="001B24ED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81A" w:rsidRPr="00CF7099" w:rsidRDefault="00CF7099" w:rsidP="001B24ED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BD081A" w:rsidRPr="00E72D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Default="00CF7099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1A" w:rsidRPr="00CF7099" w:rsidRDefault="00CF7099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BD081A" w:rsidRPr="00CF7099" w:rsidRDefault="00CF7099" w:rsidP="001B24ED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BD081A" w:rsidRDefault="00CF7099" w:rsidP="001B24ED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81A" w:rsidRPr="00CF7099" w:rsidRDefault="00CF7099" w:rsidP="001B24ED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BD081A" w:rsidRDefault="00CF7099" w:rsidP="001B24ED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81A" w:rsidRPr="00CF7099" w:rsidRDefault="00CF7099" w:rsidP="001B24ED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 w:rsidRPr="00CF7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вложения</w:t>
            </w:r>
          </w:p>
        </w:tc>
      </w:tr>
      <w:tr w:rsidR="00BD081A" w:rsidRPr="00E72D8E"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Pr="00CF7099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Pr="00CF7099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плане счетов 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BD081A" w:rsidRPr="00CF7099" w:rsidRDefault="00CF7099" w:rsidP="00B061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 162н.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 157н.</w:t>
      </w:r>
    </w:p>
    <w:p w:rsidR="00BD081A" w:rsidRPr="00CF7099" w:rsidRDefault="00CF7099" w:rsidP="00B061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по первичным документам, которые проверены сотрудниками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бухгалтерии в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(приложение 14).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 Инструкции к Единому плану счетов № 157н, пункт 23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Для случаев, которые не установлены в федеральных стандартах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нормативно-правовых актах, регулирующих бухучет, метод определения справедливой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стоимости выбирает комиссия учреждения 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СГС «Учетная политика, оценочные значения и ошибки».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Основные средства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BD081A" w:rsidRDefault="00CF7099" w:rsidP="001B24E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BD081A" w:rsidRPr="00CF7099" w:rsidRDefault="00CF7099" w:rsidP="001B24E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ab/>
        <w:t>системные блоки, мониторы, компьютерные мыши, клавиатуры, принтеры,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сканеры, колонки, акустические системы, микрофоны,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веб-камеры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устройства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захвата видео, внешние </w:t>
      </w:r>
      <w:proofErr w:type="spellStart"/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ТВ-тюнеры</w:t>
      </w:r>
      <w:proofErr w:type="spellEnd"/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, внешние накопители на жестких дисках;</w:t>
      </w:r>
    </w:p>
    <w:p w:rsidR="00BD081A" w:rsidRPr="00CF7099" w:rsidRDefault="00CF7099" w:rsidP="001B24E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определяет комиссия учреждения по поступлению и выбытию активов.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Уникальный инвентарный номер состоит из десяти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(при отнесении инвентарного объекта к 10-й амортизационной группе в данном разряде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проставляется «0»);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учета (приложение 1 к приказу Минфина от 16.10.2010 № 174н);</w:t>
      </w:r>
      <w:proofErr w:type="gramEnd"/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учета (приложение 1 к приказу Минфина от 16.10.2010 № 174н);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«Основные средства», пункт 46 Инструкции к Единому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наносится:</w:t>
      </w:r>
    </w:p>
    <w:p w:rsidR="00BD081A" w:rsidRPr="00CF7099" w:rsidRDefault="00CF7099" w:rsidP="001B24E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краской;</w:t>
      </w:r>
    </w:p>
    <w:p w:rsidR="00BD081A" w:rsidRPr="00CF7099" w:rsidRDefault="00CF7099" w:rsidP="001B24E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сценические костюмы, сценический реквизит, парики – путем нанесения вышивки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таким образом, чтобы номер не видел зритель;</w:t>
      </w:r>
    </w:p>
    <w:p w:rsidR="00BD081A" w:rsidRPr="00CF7099" w:rsidRDefault="00CF7099" w:rsidP="001B24E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средства, в том числе на декорации – путем прикрепления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водостойкой инвентаризационной наклейки с номером.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числе при капитальном ремонте, включаются в момент их возникновения в 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объекта. Одновременно с его стоимости списывается в текущие расходы 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заменяемых (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группам основных средств:</w:t>
      </w:r>
    </w:p>
    <w:p w:rsidR="00BD081A" w:rsidRDefault="00CF7099" w:rsidP="001B24E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BD081A" w:rsidRDefault="00CF7099" w:rsidP="001B24E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BD081A" w:rsidRDefault="00CF7099" w:rsidP="001B24E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BD081A" w:rsidRDefault="00CF7099" w:rsidP="001B24E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27 СГС «Основные средства».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BD081A" w:rsidRDefault="00CF7099" w:rsidP="001B24E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BD081A" w:rsidRDefault="00CF7099" w:rsidP="001B24E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BD081A" w:rsidRDefault="00CF7099" w:rsidP="001B24E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BD081A" w:rsidRPr="00CF7099" w:rsidRDefault="00CF7099" w:rsidP="001B24ED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2.7. Затраты на создание активов при проведении регулярных осмотров на предмет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наличия дефектов, являющихся обязательным условием их эксплуатации, а также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проведении ремонтов формируют объем произведенных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 стоимости объекта основных средств. Одновременно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учтенная ранее в стоимости объекта основных средств сумма затрат на 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предыдущего ремонта подлежит списанию в расходы текущего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группам основных средств:</w:t>
      </w:r>
    </w:p>
    <w:p w:rsidR="00BD081A" w:rsidRDefault="00CF7099" w:rsidP="001B24E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BD081A" w:rsidRDefault="00CF7099" w:rsidP="001B24ED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28 СГС «Основные средства».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BD081A" w:rsidRPr="00CF7099" w:rsidRDefault="00CF7099" w:rsidP="001B24E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средства группы «Транспортные средства», а также на компьютерное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оборудование и сотовые телефоны;</w:t>
      </w:r>
    </w:p>
    <w:p w:rsidR="00BD081A" w:rsidRPr="00CF7099" w:rsidRDefault="00CF7099" w:rsidP="001B24ED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2.9. В случаях, когда установлены одинаковые сроки полезного использования и метод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расчета амортизации всех структурных частей единого объекта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учреждение объединяет такие части для определения суммы амортизации.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переоценки пересчитывается пропорционально изменению первоначальной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амортизация увеличиваются (умножаются) на одинаковый коэффициент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41 СГС «Основные средства».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по поступлению и 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2.12. Имущество, относящееся к категории особо ценного имущества (ОЦИ), 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 (приложение 1). Такое имущество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принимается к учету на основании выписки из протокола комиссии.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эксплуатации,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балансовой стоимости.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пункт 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пункт 373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2.14. При приобретении и (или) создании основных средств за счет средств, полученных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разным видам деятельности, сумма вложений, сформированных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2.15. При принятии учредителем решения о выделении средств субсидии на финансовое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обеспечение выполнения государственного задания на содержание объекта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средств, который ранее приобретен (создан) учреждением за 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 охранно-пожарная сигнализация (ОПС)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учитывается. Отдельные элементы ЛВС и ОПС,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средства», учитываются как отдельные основные средства. Элементы ЛВС или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которых установлен одинаковый срок полезного использования, учитываются как единый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в 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2.17. Расходы на 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2.18. Передача в пользование объектов, которые содержатся за счет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 пользование,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2.19. Ответственными за хранение технической документации на объекты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 являются ответственные лица, за 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 хранит также гарантийные талоны.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2.20. Объекты библиотечного фонда стоимостью до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 учитываются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регистрах бухучета в денежном выражении общей суммой без количественного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разрезе кодов финансового обеспечения:</w:t>
      </w:r>
    </w:p>
    <w:p w:rsidR="00BD081A" w:rsidRPr="00CF7099" w:rsidRDefault="00CF7099" w:rsidP="001B24E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2 – приносящая доход деятельность (собственные доходы учреждения);</w:t>
      </w:r>
    </w:p>
    <w:p w:rsidR="00BD081A" w:rsidRPr="00CF7099" w:rsidRDefault="00CF7099" w:rsidP="001B24E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BD081A" w:rsidRDefault="00CF7099" w:rsidP="001B24ED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субсидии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каждый объект библиотечного фонда стоимостью свыше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 открывается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отдельная 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суммового учета ведется сотрудниками библиотеки в соответствии с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Минкультуры от 08.10.2012 № 1077.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2.21. Музейные ценности и музейные коллекции государственной 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Музейного фонда, включенные в государственный каталог,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01 «Имущество, полученное в пользование» по цене,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указанной в документации на предмет, а при ее отсутствии – в условной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оценке: один объект,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учет предметов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ведется в разрезе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реестровых записей книги поступления музейных предметов (основного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фонда).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Материальные запасы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указанные в пунктах 98–99 Инструкции к Единому плану счетов № 157н,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и хозяйственный инвентарь, перечень которого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3.2. По фактической стоимости каждой единицы списываются следующие 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запасы:</w:t>
      </w:r>
    </w:p>
    <w:p w:rsidR="00BD081A" w:rsidRPr="00CF7099" w:rsidRDefault="00CF7099" w:rsidP="001B24ED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специальные инструменты и специальные приспособления;</w:t>
      </w:r>
    </w:p>
    <w:p w:rsidR="00BD081A" w:rsidRPr="00CF7099" w:rsidRDefault="00CF7099" w:rsidP="001B24ED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оборудование, требующее монтажа и предназначенное для установки;</w:t>
      </w:r>
    </w:p>
    <w:p w:rsidR="00BD081A" w:rsidRPr="00CF7099" w:rsidRDefault="00CF7099" w:rsidP="001B24ED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запчасти и другие материалы, предназначенные для изготовления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ab/>
        <w:t>других материальных запасов и основных средств;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Остальные материальные запасы списываются по средней фактической стоимости.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Предметы мягкого инвентаря маркирует кладовщик в присутствии одного из 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комиссии по поступлению и выбытию нефинансовых активов. Маркировочные штампы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хранятся у заместителя руководителя по административно-хозяйственной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части. Срок маркировки – не позднее дня, следующего за днем поступления мягкого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инвентаря на склад.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3.4. Постельное белье, поступившее в учреждение в комплектах,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разукомплектовывается и учитывается поштучно, что оформляется самостоятельно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разработанным актом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Единица учета материальных запасов в учреждении – номенклатурная (реестровая) единица.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Исключение: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а) 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«партия» 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а также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запасы: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60"/>
        <w:gridCol w:w="3240"/>
      </w:tblGrid>
      <w:tr w:rsidR="00BD08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CF7099" w:rsidP="001B24E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BD08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81A">
        <w:tc>
          <w:tcPr>
            <w:tcW w:w="6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81A" w:rsidRDefault="00BD081A" w:rsidP="001B24E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Единица учета таких материальных запасов – однородная (реестровая) группа запасов.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единицы учета «однородная (реестровая) группа запасов» в отношении материальных запасов, характеристики которых совпадают, 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8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3.6.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12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Товары, переданные в реализацию, отражаются по цене реализации с обособлением торговой наценки.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30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3.8. Нормы на расходы горюче-смазочных материалов (ГСМ) </w:t>
      </w:r>
      <w:r w:rsidR="00B061BD">
        <w:rPr>
          <w:rFonts w:hAnsi="Times New Roman" w:cs="Times New Roman"/>
          <w:color w:val="000000"/>
          <w:sz w:val="24"/>
          <w:szCs w:val="24"/>
          <w:lang w:val="ru-RU"/>
        </w:rPr>
        <w:t>рассчитываются исходя из паспорта транспортного средства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 выше норм, установленных приказом руководителя.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3.9.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3.11. Мягкий и хозяйственный инвентарь, посуда списываются по Акту о списании мягкого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 хозяйственного инвентаря (ф. 0504143).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3.12. Не поименованные в пунктах 3.9–3.11 материальные запасы списываются по 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списании материальных запасов (ф. 0504230).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3.13. Передача материальных запасов по договору подрядчику для изготовления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сценических костюмов и декораций отражается на балансовых счетах внутренним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перемещением с указанием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субконто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«Материальные запасы у подрядчика».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Одновременно отражается увеличение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45ПМ «Материальные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запасы, переданные подрядчику по договору». С балансового и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списываются на основании акта выполненных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приложенным отчетом подрядчика об израсходованных материалах.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3.14. При приобретении и (или) создании материальных запасов за счет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выданные взамен изношенных» ведется в условной оценке 1 руб. за 1 шт.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подлежат запасные части и 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  <w:proofErr w:type="gramEnd"/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автомобильные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колесные диски;</w:t>
      </w:r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аккумуляторы;</w:t>
      </w:r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наборы автоинструмента;</w:t>
      </w:r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аптечки;</w:t>
      </w:r>
    </w:p>
    <w:p w:rsidR="00BD081A" w:rsidRDefault="00CF7099" w:rsidP="001B24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огнетушители;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BD081A" w:rsidRPr="00CF7099" w:rsidRDefault="00CF7099" w:rsidP="001B24E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Х.105.36.44Х «Прочие материальные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запасы – иное движимое имущество учреждения»;</w:t>
      </w:r>
    </w:p>
    <w:p w:rsidR="00BD081A" w:rsidRPr="00CF7099" w:rsidRDefault="00CF7099" w:rsidP="001B24ED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поступлении автомобиля от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(муниципальных) учреждений с документальной передачей остатков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запасных частей, учитываемых передающей стороной на счете 09, но не подлежащих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учету на указанном счете в соответствии с настоящей учетной политикой,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оприходование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запчастей на счет 09 не производится.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BD081A" w:rsidRPr="00CF7099" w:rsidRDefault="00CF7099" w:rsidP="001B24ED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BD081A" w:rsidRPr="00CF7099" w:rsidRDefault="00CF7099" w:rsidP="001B24ED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BD081A" w:rsidRPr="00CF7099" w:rsidRDefault="00CF7099" w:rsidP="001B24E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BD081A" w:rsidRPr="00CF7099" w:rsidRDefault="00CF7099" w:rsidP="001B24E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BD081A" w:rsidRPr="00CF7099" w:rsidRDefault="00CF7099" w:rsidP="001B24E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BD081A" w:rsidRPr="00CF7099" w:rsidRDefault="00CF7099" w:rsidP="001B24ED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3.16. Фактическая стоимость материальных запасов, полученных в результате ремонта,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разборки, утилизации (ликвидации), основных средств или иного 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определяется исходя из следующих факторов:</w:t>
      </w:r>
    </w:p>
    <w:p w:rsidR="00BD081A" w:rsidRPr="00CF7099" w:rsidRDefault="00CF7099" w:rsidP="001B24E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рассчитанной методом рыночных цен;</w:t>
      </w:r>
    </w:p>
    <w:p w:rsidR="00BD081A" w:rsidRPr="00CF7099" w:rsidRDefault="00CF7099" w:rsidP="001B24ED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приведение их в состояние, пригодное для использования.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3.17. Учет материальных ценностей на хранении ведется обособленно по видам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 с применением дополнительных кодов к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«Материальные ценности на хранении».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</w:t>
      </w:r>
      <w:r w:rsidR="009C443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ечивается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разрезе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081A" w:rsidRPr="00CF7099" w:rsidRDefault="00CF7099" w:rsidP="001B24ED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имущества, которое учреждение решило списать и которое числится за балансом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до момента его демонтажа, утилизации, уничтожения, –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02.1;</w:t>
      </w:r>
    </w:p>
    <w:p w:rsidR="00BD081A" w:rsidRPr="00CF7099" w:rsidRDefault="00CF7099" w:rsidP="001B24ED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имущества, переданного учреждению на реставрацию, –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02.2;</w:t>
      </w:r>
    </w:p>
    <w:p w:rsidR="00BD081A" w:rsidRPr="00CF7099" w:rsidRDefault="00CF7099" w:rsidP="001B24ED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02.3.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3.18. Материальные запасы (сценические костюмы, декорации) изготавливаются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нужд учреждения и принимаются к учету по фактической стоимости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Требования-накладной (ф. 0504204).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3.19. Ветошь, полученная от списания мягкого инвентаря, принимается к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основании Требования-накладной (ф. 0504204) по справедливой стоимости,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определенной комиссией по поступлению и выбытию активов методом рыночных цен.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3.20.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3.21.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4.1. Данные о справедливой стоимости безвозмездно полученных нефинансовых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активов должны подтверждаться: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прайс-листами заводов-изготовителей;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информацией, размещенной в СМИ, и т. д.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экспертным путем.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 Затраты на изготовление готовой продукции, выполнение работ, оказание услуг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5.1. Учет расходов по формированию себестоимости ведется раздельно по группам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видов услуг (работ, готовой продукции):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А) в рамках выполнения государственного задания: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услуга «Организация деятельности клубных формирований и формирований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самодеятельного народного творчества»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4.109.61.000;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услуга «Организация и проведение культурно-массовых мероприятий» –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4.109.62.000;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Б) в рамках приносящей доход деятельности, в том числе по государственному заданию: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показ (организация показа) спектаклей (театральных постановок) –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2.109.61.000;</w:t>
      </w:r>
      <w:proofErr w:type="gramEnd"/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«Курсы актерского мастерства» –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2.109.62.000;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5.2. Затраты на оказание услуг (изготовление готовой продукции) делятся на прямые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изготовления единицы готовой продукции учитываются расходы,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связанные с ее 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081A" w:rsidRPr="00CF7099" w:rsidRDefault="00CF7099" w:rsidP="001B24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учреждения, непосредственно участвующих в оказании услуги (изготовлении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продукции);</w:t>
      </w:r>
    </w:p>
    <w:p w:rsidR="00BD081A" w:rsidRPr="00CF7099" w:rsidRDefault="00CF7099" w:rsidP="001B24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в том числе медикаменты и перевязочные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средства, израсходованные непосредственно на оказание услуги (изготовление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продукции), естественная убыль;</w:t>
      </w:r>
    </w:p>
    <w:p w:rsidR="00BD081A" w:rsidRPr="00CF7099" w:rsidRDefault="00CF7099" w:rsidP="001B24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(изготовлении готовой продукции);</w:t>
      </w:r>
    </w:p>
    <w:p w:rsidR="00BD081A" w:rsidRPr="00CF7099" w:rsidRDefault="00CF7099" w:rsidP="001B24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услуги (изготовлении готовой продукции);</w:t>
      </w:r>
    </w:p>
    <w:p w:rsidR="00BD081A" w:rsidRPr="00CF7099" w:rsidRDefault="00CF7099" w:rsidP="001B24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(изготовления готовой продукции);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продукции) учитываются расходы:</w:t>
      </w:r>
    </w:p>
    <w:p w:rsidR="00BD081A" w:rsidRPr="00CF7099" w:rsidRDefault="00CF7099" w:rsidP="001B24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затраты на оплату труда и начисления на выплаты по оплате труда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учреждения, участвующих в оказании нескольких видов услуг (изготовлении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продукции);</w:t>
      </w:r>
    </w:p>
    <w:p w:rsidR="00BD081A" w:rsidRPr="00CF7099" w:rsidRDefault="00CF7099" w:rsidP="001B24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нужды учреждения, естественная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убыль;</w:t>
      </w:r>
    </w:p>
    <w:p w:rsidR="00BD081A" w:rsidRPr="00CF7099" w:rsidRDefault="00CF7099" w:rsidP="001B24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 случае их использования для оказания нескольких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видов услуг (изготовления готовой продукции);</w:t>
      </w:r>
    </w:p>
    <w:p w:rsidR="00BD081A" w:rsidRPr="00CF7099" w:rsidRDefault="00CF7099" w:rsidP="001B24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оказания разных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услуг (изготовления готовой продукции);</w:t>
      </w:r>
    </w:p>
    <w:p w:rsidR="00BD081A" w:rsidRPr="00CF7099" w:rsidRDefault="00CF7099" w:rsidP="001B24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активов;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5.3. В составе общехозяйственных расходов учитываются расходы, распределяемые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между всеми видами услуг (готовой продукции):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учреждения, не принимающих непосредственного участия при оказании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(изготовлении готовой продукции): административно-управленческого,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административно-хозяйственного и прочего обслуживающего персонала;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 (в т. ч. в качестве естественной убыли, пришедшие в 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цели, не связанные напрямую с оказанием услуг (изготовлением 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продукции);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 цели, не связанные напрямую с оказанием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(изготовлением готовой продукции);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(изготовлением готовой продукции);</w:t>
      </w:r>
    </w:p>
    <w:p w:rsidR="00BD081A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услуги связи;</w:t>
      </w:r>
    </w:p>
    <w:p w:rsidR="00BD081A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транспортные услуги;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общехозяйственного назначения;</w:t>
      </w:r>
    </w:p>
    <w:p w:rsidR="00BD081A" w:rsidRDefault="00CF7099" w:rsidP="001B24ED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прочие работы и услуги на общехозяйственные нужды.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5.4. Расходами, которые не включаются в себестоимость (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 финансовый результат (счет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BD081A" w:rsidRPr="00CF7099" w:rsidRDefault="00CF7099" w:rsidP="001B24ED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BD081A" w:rsidRDefault="00CF7099" w:rsidP="001B24ED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BD081A" w:rsidRPr="00CF7099" w:rsidRDefault="00CF7099" w:rsidP="001B24ED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договоров;</w:t>
      </w:r>
    </w:p>
    <w:p w:rsidR="00BD081A" w:rsidRPr="00CF7099" w:rsidRDefault="00CF7099" w:rsidP="001B24ED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амортизация по недвижимому и особо ценному движимому имуществу,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закреплено за учреждением или приобретено за счет средств, выделенных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учредителем;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5.5.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 оплату труда в месяце распределения.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5.6. Общехозяйственные расходы учреждения, произведенные за отчетный 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(месяц), распределяются: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части распределяемых расходов – на себестоимость реализованных услуг (готовой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продукции) пропорционально прямым затратам на единицу услуги (продукции);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части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года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5.7. 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Доля затрат на незавершенное производство рассчитывается:</w:t>
      </w:r>
    </w:p>
    <w:p w:rsidR="00BD081A" w:rsidRPr="00CF7099" w:rsidRDefault="00CF7099" w:rsidP="001B24ED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BD081A" w:rsidRPr="00CF7099" w:rsidRDefault="00CF7099" w:rsidP="001B24ED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 Расчеты с подотчетными лицами</w:t>
      </w:r>
    </w:p>
    <w:p w:rsidR="00BD081A" w:rsidRPr="00AD6853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6.1. Денежные средства выдаются под отчет на основании приказа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</w:t>
      </w:r>
      <w:r w:rsidR="00AD685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согласованной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 руководителем. </w:t>
      </w:r>
      <w:r w:rsidRPr="00AD6853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6853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BD081A" w:rsidRPr="00CF7099" w:rsidRDefault="00CF7099" w:rsidP="001B24ED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выдачи из кассы. При этом выплаты подотчетных сумм сотрудникам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производятся в 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BD081A" w:rsidRPr="00CF7099" w:rsidRDefault="00CF7099" w:rsidP="001B24ED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перечисления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зарплатную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 материально ответственного лица.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 выдачи денежных средств указывается в </w:t>
      </w:r>
      <w:proofErr w:type="spellStart"/>
      <w:r w:rsidR="00AD6853">
        <w:rPr>
          <w:rFonts w:hAnsi="Times New Roman" w:cs="Times New Roman"/>
          <w:color w:val="000000"/>
          <w:sz w:val="24"/>
          <w:szCs w:val="24"/>
          <w:lang w:val="ru-RU"/>
        </w:rPr>
        <w:t>ззаявлении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приказе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руководителя.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лицам, которые не состоят в штате, на основании </w:t>
      </w:r>
      <w:r w:rsidR="00AD6853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или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отдельного приказа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учреждения. Расчеты по выданным суммам проходят в порядке, установленном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6.3. Предельная сумма выдачи денежных средств под отчет на хозяйственные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может быть увеличена, но не более лимита расчетов наличными средствами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юридическими лицами в соответствии с указанием Центрального банка.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6.4. Денежные средства выдаются под отчет на хозяйственные нужды на срок, 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сотрудник указал в заявлении на выдачу денежных средств под отчет, но не более 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6.5. При направлении сотрудников учреждения в 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 них возмещаются в размере, установленном 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оформления служебных командировок.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израсходованных суммах в течение трех рабочих дней.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6.7. Предельные сроки отчета по выданным доверенностям на получение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материальной ответственности.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 Расчеты с дебиторами и кредиторами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7.1. Денежные средства от виновных лиц в возмещение ущерба, причиненного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нефинансовым активам, отражаются по коду вида деятельности «2» – приносящая доход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деятельность (собственные доходы учреждения).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отражается по коду вида финансового обеспечения (деятельности), по которому активы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учитывались.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7.2. Задолженность дебиторов в виде возмещения эксплуатационных и коммунальных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расходов отражается в учете на основании выставленного арендатору счета,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поставщиков (подрядчиков), Бухгалтерской справки (ф. 0504833).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7.3. В учреждении применяется 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Х.210.05.000 для расчетов с дебиторами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предоставлению учреждением:</w:t>
      </w:r>
    </w:p>
    <w:p w:rsidR="00BD081A" w:rsidRDefault="00CF7099" w:rsidP="001B24ED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D081A" w:rsidRDefault="00CF7099" w:rsidP="001B24ED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других залогов, задатков.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Операции по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Х.210.05.000 оформляются бухгалтерскими записями: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Дебет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Х.210.05.56Х Кредит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Х.201.11.610 – при перечислении с лицевого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 средств;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Дебет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Х.201.11.510 Кредит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Х.210.05.66Х – возврат денежных средств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лицевой счет учреждения.</w:t>
      </w:r>
    </w:p>
    <w:p w:rsidR="00346493" w:rsidRPr="00CF7099" w:rsidRDefault="00346493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8. Расчеты по обязательствам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="00AF2E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Х.303.05.000 «Расчеты по прочим платежам в бюджет» 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8.2. Аналитический учет расчетов по пособиям и 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8.3. Аналитический учет расчетов по оплате труда ведется в 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 которыми заключены гражданско-правовые договоры.</w:t>
      </w:r>
    </w:p>
    <w:p w:rsidR="00346493" w:rsidRDefault="00346493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6493" w:rsidRPr="00CF7099" w:rsidRDefault="00346493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9. Дебиторская и кредиторская задолженность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взысканию в порядке,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утвержденномположением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признании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задолженности сомнительной и безнадежной к взысканию.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«Доходы».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решения инвентаризационной комиссии о признании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Списание задолженности с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осуществляется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задолженности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BD081A" w:rsidRPr="00CF7099" w:rsidRDefault="00CF7099" w:rsidP="001B24ED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истечении пяти лет отражения задолженности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</w:p>
    <w:p w:rsidR="00BD081A" w:rsidRPr="00CF7099" w:rsidRDefault="00CF7099" w:rsidP="001B24ED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завершении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BD081A" w:rsidRDefault="00CF7099" w:rsidP="001B24ED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наличии документов, подтверждающих прекращение обязательства в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 Финансовый результат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10.1. Доходы от предоставления права пользования активом (арендная плата)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признается доходами текущего финансового года с одновременным уменьшением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предстоящих доходов равномерно (ежемесячно) на протяжении срока 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объектом учета аренды.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25 СГС «Аренда», подпункт «а» пункта 55 СГС «Доходы».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10.2. Доходы от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абонементов на посещение культурных мероприятий, срок исполнения которых превышает один год,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301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пункт 11 СГС «Долгосрочные договоры».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Доходы текущего года начисляются: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D081A" w:rsidRPr="00CF7099" w:rsidRDefault="00CF7099" w:rsidP="001B24ED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10.5. Учреждение осуществляет все расходы в 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 текущий год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деятельности:</w:t>
      </w:r>
    </w:p>
    <w:p w:rsidR="00BD081A" w:rsidRPr="00CF7099" w:rsidRDefault="00CF7099" w:rsidP="001B24ED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фактическому расходу;</w:t>
      </w:r>
    </w:p>
    <w:p w:rsidR="00BD081A" w:rsidRPr="00CF7099" w:rsidRDefault="00CF7099" w:rsidP="001B24ED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 – по лимиту,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распоряжением учредителя.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10.6.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будущих периодов» отражаются расходы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081A" w:rsidRDefault="00CF7099" w:rsidP="001B24ED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приобретению неисключительного права пользования нематериальными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активами в течение нескольких отчетных периодов;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финансового года равномерно по 1/12 за месяц в течение периода, к которому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относятся.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страхования, а также договорам неисключительного права 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руководителя учреждения в приказе.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10.7. В случае заключения лицензионного договора на право использования результата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 деятельности или средства индивидуализации единовременные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платежи за право включаются в расходы будущих периодов. Такие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списываются на финансовый результат текущего периода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месяца в течение срока действия договора.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66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10.8. В учреждении создаются: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на предстоящую оплату отпусков. Порядок расчета резерва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приложении 15;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по претензионным требованиям – в случае, когда учреждение является стороной судебного разбирательства. Величина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 размере претензии, предъявленной учреждению в судебном иске,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либо в претензионных документах досудебного разбирательства;</w:t>
      </w:r>
      <w:r w:rsidRPr="00CF7099">
        <w:rPr>
          <w:lang w:val="ru-RU"/>
        </w:rPr>
        <w:br/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–р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езерв по гарантийному ремонту. Определяется на текущий год в первый рабочий день года на основе плановых показателей годовой выручки от </w:t>
      </w:r>
      <w:proofErr w:type="gram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равна доле фактических расходов на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гарантийный ремонт за предшествующие три года в объеме выручки за предшествующие три года.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СГС «Резервы».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11. Санкционирование расходов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Принятие к учету обязательств (денежных обязательств) осуществляется в порядке,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приведенном в</w:t>
      </w:r>
      <w:r w:rsidR="00AD6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12. События после отчетной даты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даты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16.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Объекты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60 «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 без потенциала».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7 СГС «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14. Бланки строгой отчетности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14.1. В деятельности учреждения используются следующие бланки строгой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(БСО):</w:t>
      </w:r>
    </w:p>
    <w:p w:rsidR="00BD081A" w:rsidRDefault="00CF7099" w:rsidP="001B24ED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билеты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абонементы;</w:t>
      </w:r>
    </w:p>
    <w:p w:rsidR="00BD081A" w:rsidRDefault="003067D5" w:rsidP="001B24ED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="00CF7099"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бланки трудовых книжек и вкладышей к ним;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 трудовых книжек и вкладышей к ним ведется по стоимости их приобретения.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Остальные БСО учитываются в условной оценке: один объект,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 w:rsidR="00D2078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 Учреждение оформляет прием, выдачу, хранение и уничтожение билетов,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абонементов и </w:t>
      </w:r>
      <w:r w:rsidR="00546690">
        <w:rPr>
          <w:rFonts w:hAnsi="Times New Roman" w:cs="Times New Roman"/>
          <w:color w:val="000000"/>
          <w:sz w:val="24"/>
          <w:szCs w:val="24"/>
          <w:lang w:val="ru-RU"/>
        </w:rPr>
        <w:t>квитанций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Методическими указаниями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порядке применения, учета, хранения и уничтожения бланков строгой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организациями и учреждениями, находящимися в ведении Минкультуры, доведенными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письмом Минкультуры от 15.07.2009 № 29-01-39/04, с учетом следующих особенностей.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 w:rsidR="00D2078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Бланки строгой отчетности учитываются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</w:t>
      </w:r>
      <w:r w:rsidR="005466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81A" w:rsidRPr="00CF7099" w:rsidRDefault="00CF7099" w:rsidP="00AD68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т. ч. числящихся на </w:t>
      </w:r>
      <w:proofErr w:type="spellStart"/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резервов) проводит постоянно действующая инвентаризационная комиссия. 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отдельных случаях (при смене материально ответственных лиц, выявлении 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созданная рабочая комиссия, состав которой утверждается отельным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Состав комиссии для проведения внезапной ревизии кассы </w:t>
      </w:r>
      <w:r w:rsidR="007D3117">
        <w:rPr>
          <w:rFonts w:hAnsi="Times New Roman" w:cs="Times New Roman"/>
          <w:color w:val="000000"/>
          <w:sz w:val="24"/>
          <w:szCs w:val="24"/>
          <w:lang w:val="ru-RU"/>
        </w:rPr>
        <w:t>оформлен приказом руководителя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81A" w:rsidRPr="00CF7099" w:rsidRDefault="00CF7099" w:rsidP="00CD05C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BD081A" w:rsidRDefault="00CF7099" w:rsidP="001B24ED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BD081A" w:rsidRPr="00CF7099" w:rsidRDefault="00EE7805" w:rsidP="001B24ED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контрактный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упровляющий</w:t>
      </w:r>
      <w:proofErr w:type="spellEnd"/>
      <w:r w:rsidR="00CF7099"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, сотрудники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CF7099" w:rsidRPr="00CF70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81A" w:rsidRPr="00CF7099" w:rsidRDefault="00EE7805" w:rsidP="001B24ED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юрисконсульт</w:t>
      </w:r>
      <w:r w:rsidR="00CF7099"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, сотрудники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CF7099" w:rsidRPr="00CF70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81A" w:rsidRPr="00CF7099" w:rsidRDefault="00CF7099" w:rsidP="001B24ED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проверок финансово-хозяйственной деятельности приведен в</w:t>
      </w:r>
      <w:r w:rsidR="00AD6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приложении 1.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BD081A" w:rsidRPr="00CF7099" w:rsidRDefault="00CF7099" w:rsidP="00AD68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– до 17 января года, следующего за отчетным годом.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бухгалтеру учреждения.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 определяется прямым методом и рассчитывается как разница между всеми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денежными притоками учреждения от всех видов деятельности и их оттоками.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«Бюджет». Бумажная копия комплекта отчетности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BD081A" w:rsidRPr="00CF7099" w:rsidRDefault="00BD081A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081A" w:rsidRPr="00CF7099" w:rsidRDefault="00CF7099" w:rsidP="00FE75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CF7099">
        <w:rPr>
          <w:lang w:val="ru-RU"/>
        </w:rPr>
        <w:br/>
      </w:r>
      <w:r w:rsidRPr="00CF70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 – уполномоченное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лицо) передать документы бухгалтерского учета, а также печати и штампы, хранящиеся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в бухгалтерии.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или Управления культуры,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 – учредитель).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прилагается перечень передаваемых документов, их количество и тип.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которые возникли при приеме-передаче дел.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BD081A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планированию, в том числе план финансово-хозяйственной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оборотные ведомости, карточки, журналы операций;</w:t>
      </w:r>
    </w:p>
    <w:p w:rsidR="00BD081A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акты, счета-фактуры, товарные накладные и т. д.;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денежные документы и т. д.;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подписью главного бухгалтера;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BD081A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BD081A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081A" w:rsidRDefault="00CF7099" w:rsidP="001B24ED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BD081A" w:rsidRPr="00CF7099" w:rsidRDefault="00CF7099" w:rsidP="001B24ED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Члены комиссии, имеющие замечания по содержанию акта, подписывают его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по объему замечания допускается фиксировать на самом акте.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BD081A" w:rsidRPr="00CF7099" w:rsidRDefault="00CF7099" w:rsidP="001B24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099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sectPr w:rsidR="00BD081A" w:rsidRPr="00CF7099" w:rsidSect="00BD08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5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0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E41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7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435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B6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50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90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6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F3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B1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53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07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82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73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D4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01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E7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74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50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87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C6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81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83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81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1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B4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4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82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D5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55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74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42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34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32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70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5"/>
  </w:num>
  <w:num w:numId="4">
    <w:abstractNumId w:val="3"/>
  </w:num>
  <w:num w:numId="5">
    <w:abstractNumId w:val="28"/>
  </w:num>
  <w:num w:numId="6">
    <w:abstractNumId w:val="32"/>
  </w:num>
  <w:num w:numId="7">
    <w:abstractNumId w:val="25"/>
  </w:num>
  <w:num w:numId="8">
    <w:abstractNumId w:val="34"/>
  </w:num>
  <w:num w:numId="9">
    <w:abstractNumId w:val="33"/>
  </w:num>
  <w:num w:numId="10">
    <w:abstractNumId w:val="30"/>
  </w:num>
  <w:num w:numId="11">
    <w:abstractNumId w:val="18"/>
  </w:num>
  <w:num w:numId="12">
    <w:abstractNumId w:val="12"/>
  </w:num>
  <w:num w:numId="13">
    <w:abstractNumId w:val="31"/>
  </w:num>
  <w:num w:numId="14">
    <w:abstractNumId w:val="7"/>
  </w:num>
  <w:num w:numId="15">
    <w:abstractNumId w:val="0"/>
  </w:num>
  <w:num w:numId="16">
    <w:abstractNumId w:val="8"/>
  </w:num>
  <w:num w:numId="17">
    <w:abstractNumId w:val="24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15"/>
  </w:num>
  <w:num w:numId="23">
    <w:abstractNumId w:val="36"/>
  </w:num>
  <w:num w:numId="24">
    <w:abstractNumId w:val="29"/>
  </w:num>
  <w:num w:numId="25">
    <w:abstractNumId w:val="37"/>
  </w:num>
  <w:num w:numId="26">
    <w:abstractNumId w:val="27"/>
  </w:num>
  <w:num w:numId="27">
    <w:abstractNumId w:val="20"/>
  </w:num>
  <w:num w:numId="28">
    <w:abstractNumId w:val="17"/>
  </w:num>
  <w:num w:numId="29">
    <w:abstractNumId w:val="16"/>
  </w:num>
  <w:num w:numId="30">
    <w:abstractNumId w:val="19"/>
  </w:num>
  <w:num w:numId="31">
    <w:abstractNumId w:val="4"/>
  </w:num>
  <w:num w:numId="32">
    <w:abstractNumId w:val="14"/>
  </w:num>
  <w:num w:numId="33">
    <w:abstractNumId w:val="21"/>
  </w:num>
  <w:num w:numId="34">
    <w:abstractNumId w:val="26"/>
  </w:num>
  <w:num w:numId="35">
    <w:abstractNumId w:val="11"/>
  </w:num>
  <w:num w:numId="36">
    <w:abstractNumId w:val="23"/>
  </w:num>
  <w:num w:numId="37">
    <w:abstractNumId w:val="2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3516"/>
    <w:rsid w:val="001B24ED"/>
    <w:rsid w:val="0026776E"/>
    <w:rsid w:val="002D33B1"/>
    <w:rsid w:val="002D3591"/>
    <w:rsid w:val="002F57A5"/>
    <w:rsid w:val="003067D5"/>
    <w:rsid w:val="00346493"/>
    <w:rsid w:val="003514A0"/>
    <w:rsid w:val="004F7E17"/>
    <w:rsid w:val="00546690"/>
    <w:rsid w:val="005A05CE"/>
    <w:rsid w:val="005A290E"/>
    <w:rsid w:val="005B79F6"/>
    <w:rsid w:val="005C07EE"/>
    <w:rsid w:val="00653AF6"/>
    <w:rsid w:val="006D4BB2"/>
    <w:rsid w:val="007D3117"/>
    <w:rsid w:val="00965099"/>
    <w:rsid w:val="009C4431"/>
    <w:rsid w:val="00A6303E"/>
    <w:rsid w:val="00A87743"/>
    <w:rsid w:val="00AD2028"/>
    <w:rsid w:val="00AD6853"/>
    <w:rsid w:val="00AF2E82"/>
    <w:rsid w:val="00B061BD"/>
    <w:rsid w:val="00B73A5A"/>
    <w:rsid w:val="00B85A92"/>
    <w:rsid w:val="00BA665B"/>
    <w:rsid w:val="00BD081A"/>
    <w:rsid w:val="00C32DA2"/>
    <w:rsid w:val="00CD05C0"/>
    <w:rsid w:val="00CF7099"/>
    <w:rsid w:val="00D2078B"/>
    <w:rsid w:val="00E1055F"/>
    <w:rsid w:val="00E438A1"/>
    <w:rsid w:val="00E72D8E"/>
    <w:rsid w:val="00EB4667"/>
    <w:rsid w:val="00EC4E13"/>
    <w:rsid w:val="00EE7805"/>
    <w:rsid w:val="00F01E19"/>
    <w:rsid w:val="00F11AB7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</dc:creator>
  <dc:description>Подготовлено экспертами Актион-МЦФЭР</dc:description>
  <cp:lastModifiedBy>Наталья А</cp:lastModifiedBy>
  <cp:revision>30</cp:revision>
  <cp:lastPrinted>2020-06-29T08:12:00Z</cp:lastPrinted>
  <dcterms:created xsi:type="dcterms:W3CDTF">2020-06-29T04:53:00Z</dcterms:created>
  <dcterms:modified xsi:type="dcterms:W3CDTF">2020-06-30T01:32:00Z</dcterms:modified>
</cp:coreProperties>
</file>